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20"/>
    <w:p>
      <w:pPr>
        <w:pStyle w:val="Heading1"/>
      </w:pPr>
      <w:r>
        <w:t xml:space="preserve">Homiletics Analysis: Psalms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20 is a royal liturgical psalm — most likely a pre-battle prayer offered by the congregation of Israel on behalf of the king before he goes to war. The psalm divides naturally into three movements. In the first movement (vv. 1–5), the people pray for the king: that the LORD would answer him in the day of trouble, protect him, remember his offerings, grant him his heart’s desire, and give him success. The prayer is grounded in the LORD’s covenant relationship with the king — specifically in the name of the God of Jacob and the sanctuary at Zion. In the second movement (vv. 6–8), the psalm pivots to a confident declaration — either the king’s own voice, or a priestly voice on behalf of the assembly — that the LORD</w:t>
      </w:r>
      <w:r>
        <w:t xml:space="preserve"> </w:t>
      </w:r>
      <w:r>
        <w:rPr>
          <w:i/>
          <w:iCs/>
        </w:rPr>
        <w:t xml:space="preserve">will</w:t>
      </w:r>
      <w:r>
        <w:t xml:space="preserve"> </w:t>
      </w:r>
      <w:r>
        <w:t xml:space="preserve">save His anointed and that the people have already been answered. The contrast between those who trust in chariots and horses versus those who trust in the name of the LORD is the theological spine of the psalm. In the third movement (v. 9), the congregation brings the psalm to a close with a brief, urgent petition:</w:t>
      </w:r>
      <w:r>
        <w:t xml:space="preserve"> </w:t>
      </w:r>
      <w:r>
        <w:rPr>
          <w:i/>
          <w:iCs/>
        </w:rPr>
        <w:t xml:space="preserve">“Save, LORD; may the King answer us when we call.”</w:t>
      </w:r>
    </w:p>
    <w:p>
      <w:pPr>
        <w:pStyle w:val="BodyText"/>
      </w:pPr>
      <w:r>
        <w:rPr>
          <w:b/>
          <w:bCs/>
        </w:rPr>
        <w:t xml:space="preserve">This Text — Intent</w:t>
      </w:r>
    </w:p>
    <w:p>
      <w:pPr>
        <w:pStyle w:val="BodyText"/>
      </w:pPr>
      <w:r>
        <w:t xml:space="preserve">God’s intent through this psalm is to reorient His people’s confidence — from visible, measurable military power to invisible, covenant-keeping divine faithfulness. The psalm does not deny the reality of battle, threat, or need. It takes the day of trouble seriously. But it insists that the decisive factor in any contest is not the size of the chariot fleet but the name of the LORD. God is using this psalm to shape a community of worshippers who pray before they fight, who confess trust before they see deliverance, and who find their stability not in accumulated human strength but in the LORD’s answer to prayer. The psalm trains the people to live — and to face danger — from a posture of confident dependence rather than anxious self-reliance.</w:t>
      </w:r>
    </w:p>
    <w:p>
      <w:r>
        <w:pict>
          <v:rect style="width:0;height:1.5pt" o:hralign="center" o:hrstd="t" o:hr="t"/>
        </w:pict>
      </w:r>
    </w:p>
    <w:p>
      <w:pPr>
        <w:pStyle w:val="FirstParagraph"/>
      </w:pPr>
      <w:r>
        <w:rPr>
          <w:b/>
          <w:bCs/>
        </w:rPr>
        <w:t xml:space="preserve">Subject Sentence:</w:t>
      </w:r>
      <w:r>
        <w:t xml:space="preserve"> </w:t>
      </w:r>
      <w:r>
        <w:t xml:space="preserve">The congregation prays for its king, confessing that victory belongs to the LORD alone.</w:t>
      </w:r>
    </w:p>
    <w:p>
      <w:r>
        <w:pict>
          <v:rect style="width:0;height:1.5pt" o:hralign="center" o:hrstd="t" o:hr="t"/>
        </w:pict>
      </w:r>
    </w:p>
    <w:p>
      <w:pPr>
        <w:pStyle w:val="FirstParagraph"/>
      </w:pPr>
      <w:r>
        <w:rPr>
          <w:b/>
          <w:bCs/>
        </w:rPr>
        <w:t xml:space="preserve">Primary Claim:</w:t>
      </w:r>
      <w:r>
        <w:t xml:space="preserve"> </w:t>
      </w:r>
      <w:r>
        <w:t xml:space="preserve">God calls His people to bring their most urgent needs to Him in prayer, trusting that the name of the LORD is a more reliable foundation than any human resource — and to declare that confidence before the outcome is visible.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Messianic Question</w:t>
      </w:r>
    </w:p>
    <w:p>
      <w:pPr>
        <w:pStyle w:val="BodyText"/>
      </w:pPr>
      <w:r>
        <w:t xml:space="preserve">The most significant interpretive issue in Psalm 20 is the relationship between the historical Davidic king and the Lord Jesus Christ. Three broad positions exist:</w:t>
      </w:r>
    </w:p>
    <w:p>
      <w:pPr>
        <w:pStyle w:val="BodyText"/>
      </w:pPr>
      <w:r>
        <w:rPr>
          <w:i/>
          <w:iCs/>
        </w:rPr>
        <w:t xml:space="preserve">Historical-only reading</w:t>
      </w:r>
      <w:r>
        <w:t xml:space="preserve"> </w:t>
      </w:r>
      <w:r>
        <w:t xml:space="preserve">(common in critical scholarship): The psalm refers exclusively to a historical Israelite king — likely David or one of his successors — and functions as ancient court liturgy with no direct messianic significance. This reading surfaces genuine historical context but underreads the canonical function of the Davidic kingship. It must be acknowledged as correctly grounding the psalm in its historical setting while being qualified for missing the theological load the text is carrying forward.</w:t>
      </w:r>
    </w:p>
    <w:p>
      <w:pPr>
        <w:pStyle w:val="BodyText"/>
      </w:pPr>
      <w:r>
        <w:rPr>
          <w:i/>
          <w:iCs/>
        </w:rPr>
        <w:t xml:space="preserve">Directly messianic reading</w:t>
      </w:r>
      <w:r>
        <w:t xml:space="preserve">: Some readers, especially in devotional traditions, read the psalm as a direct prophecy about Christ’s suffering and vindication — treating</w:t>
      </w:r>
      <w:r>
        <w:t xml:space="preserve"> </w:t>
      </w:r>
      <w:r>
        <w:t xml:space="preserve">“the day of trouble”</w:t>
      </w:r>
      <w:r>
        <w:t xml:space="preserve"> </w:t>
      </w:r>
      <w:r>
        <w:t xml:space="preserve">as Gethsemane or the cross. This reading captures the canonical trajectory but overreaches by bypassing the psalm’s original liturgical function. It must be qualified: the psalm is not primarily predictive prophecy but typological kingship theology.</w:t>
      </w:r>
    </w:p>
    <w:p>
      <w:pPr>
        <w:pStyle w:val="BodyText"/>
      </w:pPr>
      <w:r>
        <w:rPr>
          <w:i/>
          <w:iCs/>
        </w:rPr>
        <w:t xml:space="preserve">Reformed typological-redemptive reading</w:t>
      </w:r>
      <w:r>
        <w:t xml:space="preserve">: The psalm addresses the historical Davidic king as the LORD’s anointed, but the Davidic covenant (2 Samuel 7) has already established that this king is the bearer of God’s covenant purposes — that through David’s line, God’s kingdom will be secured. Every use of</w:t>
      </w:r>
      <w:r>
        <w:t xml:space="preserve"> </w:t>
      </w:r>
      <w:r>
        <w:t xml:space="preserve">“his anointed”</w:t>
      </w:r>
      <w:r>
        <w:t xml:space="preserve"> </w:t>
      </w:r>
      <w:r>
        <w:t xml:space="preserve">(v. 6) carries this forward. The New Testament identifies Jesus as the ultimate fulfillment of the Davidic covenant. The preacher, therefore, rightly reads Psalm 20 as Israel’s prayer for its covenant king, which finds its fullest meaning in Christ — who truly entered the day of trouble (Gethsemane, the cross), was truly answered by the Father (resurrection), and from whom alone the community of God’s people now derives its confidence. This reading is preferred because it honors the psalm’s historical setting, takes seriously its liturgical function in Israel’s worship, and reads it along the canonical line the New Testament itself draws.</w:t>
      </w:r>
    </w:p>
    <w:p>
      <w:pPr>
        <w:pStyle w:val="BodyText"/>
      </w:pPr>
      <w:r>
        <w:rPr>
          <w:b/>
          <w:bCs/>
        </w:rPr>
        <w:t xml:space="preserve">The</w:t>
      </w:r>
      <w:r>
        <w:rPr>
          <w:b/>
          <w:bCs/>
        </w:rPr>
        <w:t xml:space="preserve"> </w:t>
      </w:r>
      <w:r>
        <w:rPr>
          <w:b/>
          <w:bCs/>
        </w:rPr>
        <w:t xml:space="preserve">“Anointed”</w:t>
      </w:r>
      <w:r>
        <w:rPr>
          <w:b/>
          <w:bCs/>
        </w:rPr>
        <w:t xml:space="preserve"> </w:t>
      </w:r>
      <w:r>
        <w:rPr>
          <w:b/>
          <w:bCs/>
        </w:rPr>
        <w:t xml:space="preserve">in Verse 6</w:t>
      </w:r>
    </w:p>
    <w:p>
      <w:pPr>
        <w:pStyle w:val="BodyText"/>
      </w:pPr>
      <w:r>
        <w:t xml:space="preserve">Some commentators (particularly Baptist and free-church traditions) read v. 6 as a general statement about all believers —</w:t>
      </w:r>
      <w:r>
        <w:t xml:space="preserve"> </w:t>
      </w:r>
      <w:r>
        <w:t xml:space="preserve">“the LORD saves His anointed”</w:t>
      </w:r>
      <w:r>
        <w:t xml:space="preserve"> </w:t>
      </w:r>
      <w:r>
        <w:t xml:space="preserve">becoming a promise to every individual who trusts Him. This reading has homiletical appeal but is exegetically strained. The Hebrew</w:t>
      </w:r>
      <w:r>
        <w:t xml:space="preserve"> </w:t>
      </w:r>
      <w:r>
        <w:rPr>
          <w:i/>
          <w:iCs/>
        </w:rPr>
        <w:t xml:space="preserve">meshicho</w:t>
      </w:r>
      <w:r>
        <w:t xml:space="preserve"> </w:t>
      </w:r>
      <w:r>
        <w:t xml:space="preserve">(His anointed) is singular and refers to the king, not the congregation. The congregation is praying</w:t>
      </w:r>
      <w:r>
        <w:t xml:space="preserve"> </w:t>
      </w:r>
      <w:r>
        <w:rPr>
          <w:i/>
          <w:iCs/>
        </w:rPr>
        <w:t xml:space="preserve">for</w:t>
      </w:r>
      <w:r>
        <w:t xml:space="preserve"> </w:t>
      </w:r>
      <w:r>
        <w:t xml:space="preserve">the anointed; they are not themselves the anointed in this psalm’s structure. The application to the believer’s confidence flows through Christ the Anointed, not by collapsing the distinction between king and people.</w:t>
      </w:r>
    </w:p>
    <w:p>
      <w:pPr>
        <w:pStyle w:val="BodyText"/>
      </w:pPr>
      <w:r>
        <w:rPr>
          <w:b/>
          <w:bCs/>
        </w:rPr>
        <w:t xml:space="preserve">Chariots and Horses — Moralizing Danger</w:t>
      </w:r>
    </w:p>
    <w:p>
      <w:pPr>
        <w:pStyle w:val="BodyText"/>
      </w:pPr>
      <w:r>
        <w:t xml:space="preserve">Many expositions of vv. 7–8 reduce the chariot/horse contrast to a general principle against materialism or self-reliance. This must be qualified. The contrast is not abstract — it is military and political and urgently specific. Israel faces real armies. The psalm is not teaching a principle about financial prudence; it is naming the temptation of a nation under military threat to look to its own armaments rather than to God. Applications must preserve this specificity — the</w:t>
      </w:r>
      <w:r>
        <w:t xml:space="preserve"> </w:t>
      </w:r>
      <w:r>
        <w:t xml:space="preserve">“chariots and horses”</w:t>
      </w:r>
      <w:r>
        <w:t xml:space="preserve"> </w:t>
      </w:r>
      <w:r>
        <w:t xml:space="preserve">category includes any concrete, visible source of security in which God’s people are tempted to place ultimate trust.</w:t>
      </w:r>
    </w:p>
    <w:p>
      <w:pPr>
        <w:pStyle w:val="BodyText"/>
      </w:pPr>
      <w:r>
        <w:t xml:space="preserve">The Reformed reading is preferred throughout: the psalm is covenant liturgy centered on the Davidic king as the LORD’s anointed, finding its ultimate referent in Christ, calling the covenant community to a confidence in God’s name that precedes and transcends visible military or material advantage.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7:8–16</w:t>
      </w:r>
      <w:r>
        <w:t xml:space="preserve"> </w:t>
      </w:r>
      <w:r>
        <w:t xml:space="preserve">— The Davidic covenant establishes the theological ground for Psalm 20: the king is the LORD’s anointed, His purposes flow through this kingship, and His faithfulness to the throne is covenant-bound. Psalm 20’s confidence in</w:t>
      </w:r>
      <w:r>
        <w:t xml:space="preserve"> </w:t>
      </w:r>
      <w:r>
        <w:t xml:space="preserve">“His anointed”</w:t>
      </w:r>
      <w:r>
        <w:t xml:space="preserve"> </w:t>
      </w:r>
      <w:r>
        <w:t xml:space="preserve">(v. 6) is incomprehensible apart from this covenant.</w:t>
      </w:r>
    </w:p>
    <w:p>
      <w:pPr>
        <w:numPr>
          <w:ilvl w:val="0"/>
          <w:numId w:val="1001"/>
        </w:numPr>
      </w:pPr>
      <w:r>
        <w:rPr>
          <w:b/>
          <w:bCs/>
        </w:rPr>
        <w:t xml:space="preserve">Psalm 33:16–19</w:t>
      </w:r>
      <w:r>
        <w:t xml:space="preserve"> </w:t>
      </w:r>
      <w:r>
        <w:t xml:space="preserve">—</w:t>
      </w:r>
      <w:r>
        <w:t xml:space="preserve"> </w:t>
      </w:r>
      <w:r>
        <w:t xml:space="preserve">“A king is not saved by a great army… the eye of the LORD is on those who fear Him.”</w:t>
      </w:r>
      <w:r>
        <w:t xml:space="preserve"> </w:t>
      </w:r>
      <w:r>
        <w:t xml:space="preserve">This psalm provides the closest parallel to Psalm 20:7–8, developing the same theological conviction — visible military strength is not the decisive factor; the LORD’s watchful faithfulness is.</w:t>
      </w:r>
    </w:p>
    <w:p>
      <w:pPr>
        <w:numPr>
          <w:ilvl w:val="0"/>
          <w:numId w:val="1001"/>
        </w:numPr>
      </w:pPr>
      <w:r>
        <w:rPr>
          <w:b/>
          <w:bCs/>
        </w:rPr>
        <w:t xml:space="preserve">Isaiah 31:1–3</w:t>
      </w:r>
      <w:r>
        <w:t xml:space="preserve"> </w:t>
      </w:r>
      <w:r>
        <w:t xml:space="preserve">— The prophet’s devastating rebuke of those who</w:t>
      </w:r>
      <w:r>
        <w:t xml:space="preserve"> </w:t>
      </w:r>
      <w:r>
        <w:t xml:space="preserve">“go down to Egypt for help and rely on horses”</w:t>
      </w:r>
      <w:r>
        <w:t xml:space="preserve"> </w:t>
      </w:r>
      <w:r>
        <w:t xml:space="preserve">and</w:t>
      </w:r>
      <w:r>
        <w:t xml:space="preserve"> </w:t>
      </w:r>
      <w:r>
        <w:t xml:space="preserve">“do not look to the Holy One of Israel”</w:t>
      </w:r>
      <w:r>
        <w:t xml:space="preserve"> </w:t>
      </w:r>
      <w:r>
        <w:t xml:space="preserve">is the prophetic application of exactly what Psalm 20 is teaching. The contrast becomes a judgment oracle when Israel forgets it.</w:t>
      </w:r>
    </w:p>
    <w:p>
      <w:pPr>
        <w:numPr>
          <w:ilvl w:val="0"/>
          <w:numId w:val="1001"/>
        </w:numPr>
      </w:pPr>
      <w:r>
        <w:rPr>
          <w:b/>
          <w:bCs/>
        </w:rPr>
        <w:t xml:space="preserve">Luke 22:39–44 / Matthew 26:36–46</w:t>
      </w:r>
      <w:r>
        <w:t xml:space="preserve"> </w:t>
      </w:r>
      <w:r>
        <w:t xml:space="preserve">— Gethsemane is the ultimate</w:t>
      </w:r>
      <w:r>
        <w:t xml:space="preserve"> </w:t>
      </w:r>
      <w:r>
        <w:t xml:space="preserve">“day of trouble”</w:t>
      </w:r>
      <w:r>
        <w:t xml:space="preserve"> </w:t>
      </w:r>
      <w:r>
        <w:t xml:space="preserve">for the LORD’s anointed. Jesus prays; He is answered (Hebrews 5:7 —</w:t>
      </w:r>
      <w:r>
        <w:t xml:space="preserve"> </w:t>
      </w:r>
      <w:r>
        <w:t xml:space="preserve">“heard because of His reverent submission”</w:t>
      </w:r>
      <w:r>
        <w:t xml:space="preserve">). The resurrection is the Father’s answer to the Son’s prayer, validating the entire trajectory of Psalm 20’s confidence in God’s saving of His Anointed.</w:t>
      </w:r>
    </w:p>
    <w:p>
      <w:pPr>
        <w:numPr>
          <w:ilvl w:val="0"/>
          <w:numId w:val="1001"/>
        </w:numPr>
      </w:pPr>
      <w:r>
        <w:rPr>
          <w:b/>
          <w:bCs/>
        </w:rPr>
        <w:t xml:space="preserve">Philippians 4:6–7</w:t>
      </w:r>
      <w:r>
        <w:t xml:space="preserve"> </w:t>
      </w:r>
      <w:r>
        <w:t xml:space="preserve">— Paul’s command to bring everything to God in prayer rather than be anxious — with the promise of a peace that guards the heart — is the New Testament application of the Psalm 20 posture: prayer before the outcome, confidence declared before the deliverance is visible.</w:t>
      </w:r>
    </w:p>
    <w:p>
      <w:r>
        <w:pict>
          <v:rect style="width:0;height:1.5pt" o:hralign="center" o:hrstd="t" o:hr="t"/>
        </w:pict>
      </w:r>
    </w:p>
    <w:p>
      <w:pPr>
        <w:pStyle w:val="FirstParagraph"/>
      </w:pPr>
      <w:r>
        <w:rPr>
          <w:b/>
          <w:bCs/>
        </w:rPr>
        <w:t xml:space="preserve">Aim:</w:t>
      </w:r>
      <w:r>
        <w:t xml:space="preserve"> </w:t>
      </w:r>
      <w:r>
        <w:t xml:space="preserve">To lead the reader to bring their most pressing</w:t>
      </w:r>
      <w:r>
        <w:t xml:space="preserve"> </w:t>
      </w:r>
      <w:r>
        <w:t xml:space="preserve">“day of trouble”</w:t>
      </w:r>
      <w:r>
        <w:t xml:space="preserve"> </w:t>
      </w:r>
      <w:r>
        <w:t xml:space="preserve">to God in prayer — confident in His name, honest about the inadequacy of every human substitute, and willing to declare trust before the outcome is visible.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congregation prays:</w:t>
            </w:r>
            <w:r>
              <w:t xml:space="preserve"> </w:t>
            </w:r>
            <w:r>
              <w:t xml:space="preserve">“May the LORD answer you in the day of trouble; may the name of the God of Jacob protect you.”</w:t>
            </w:r>
          </w:p>
        </w:tc>
        <w:tc>
          <w:tcPr/>
          <w:p>
            <w:pPr>
              <w:pStyle w:val="Compact"/>
            </w:pPr>
            <w:r>
              <w:t xml:space="preserve">“Day of trouble”</w:t>
            </w:r>
            <w:r>
              <w:t xml:space="preserve"> </w:t>
            </w:r>
            <w:r>
              <w:t xml:space="preserve">— tzarah — distress, military or existential threat. Prayer offered before the battle, not after.</w:t>
            </w:r>
          </w:p>
        </w:tc>
      </w:tr>
      <w:tr>
        <w:tc>
          <w:tcPr/>
          <w:p>
            <w:pPr>
              <w:pStyle w:val="Compact"/>
            </w:pPr>
            <w:r>
              <w:t xml:space="preserve">2</w:t>
            </w:r>
          </w:p>
        </w:tc>
        <w:tc>
          <w:tcPr/>
          <w:p>
            <w:pPr>
              <w:pStyle w:val="Compact"/>
            </w:pPr>
            <w:r>
              <w:t xml:space="preserve">“May He send you help from the sanctuary and give you support from Zion.”</w:t>
            </w:r>
          </w:p>
        </w:tc>
        <w:tc>
          <w:tcPr/>
          <w:p>
            <w:pPr>
              <w:pStyle w:val="Compact"/>
            </w:pPr>
            <w:r>
              <w:t xml:space="preserve">The sanctuary/Zion connection: help flows from the place of God’s dwelling. The king’s strength is not his own resource but God’s.</w:t>
            </w:r>
          </w:p>
        </w:tc>
      </w:tr>
      <w:tr>
        <w:tc>
          <w:tcPr/>
          <w:p>
            <w:pPr>
              <w:pStyle w:val="Compact"/>
            </w:pPr>
            <w:r>
              <w:t xml:space="preserve">3</w:t>
            </w:r>
          </w:p>
        </w:tc>
        <w:tc>
          <w:tcPr/>
          <w:p>
            <w:pPr>
              <w:pStyle w:val="Compact"/>
            </w:pPr>
            <w:r>
              <w:t xml:space="preserve">“May He remember all your offerings and regard with favor your burnt sacrifices.”</w:t>
            </w:r>
          </w:p>
        </w:tc>
        <w:tc>
          <w:tcPr/>
          <w:p>
            <w:pPr>
              <w:pStyle w:val="Compact"/>
            </w:pPr>
            <w:r>
              <w:t xml:space="preserve">The offerings are the king’s prior acts of covenant faithfulness. The prayer asks God to honor the king’s worship with His help.</w:t>
            </w:r>
          </w:p>
        </w:tc>
      </w:tr>
      <w:tr>
        <w:tc>
          <w:tcPr/>
          <w:p>
            <w:pPr>
              <w:pStyle w:val="Compact"/>
            </w:pPr>
            <w:r>
              <w:t xml:space="preserve">4</w:t>
            </w:r>
          </w:p>
        </w:tc>
        <w:tc>
          <w:tcPr/>
          <w:p>
            <w:pPr>
              <w:pStyle w:val="Compact"/>
            </w:pPr>
            <w:r>
              <w:t xml:space="preserve">“May He grant you your heart’s desire and fulfill all your plans.”</w:t>
            </w:r>
          </w:p>
        </w:tc>
        <w:tc>
          <w:tcPr/>
          <w:p>
            <w:pPr>
              <w:pStyle w:val="Compact"/>
            </w:pPr>
            <w:r>
              <w:t xml:space="preserve">The heart’s desire and plans are implicitly covenant-shaped — not blank-check grant of any wish, but the king’s purposes understood within his covenant role.</w:t>
            </w:r>
          </w:p>
        </w:tc>
      </w:tr>
      <w:tr>
        <w:tc>
          <w:tcPr/>
          <w:p>
            <w:pPr>
              <w:pStyle w:val="Compact"/>
            </w:pPr>
            <w:r>
              <w:t xml:space="preserve">5</w:t>
            </w:r>
          </w:p>
        </w:tc>
        <w:tc>
          <w:tcPr/>
          <w:p>
            <w:pPr>
              <w:pStyle w:val="Compact"/>
            </w:pPr>
            <w:r>
              <w:t xml:space="preserve">“May we shout for joy over your salvation, and in the name of our God set up our banners. May the LORD fulfill all your petitions.”</w:t>
            </w:r>
          </w:p>
        </w:tc>
        <w:tc>
          <w:tcPr/>
          <w:p>
            <w:pPr>
              <w:pStyle w:val="Compact"/>
            </w:pPr>
            <w:r>
              <w:t xml:space="preserve">The congregation identifies itself with the king’s outcome. His victory is their joy. Their banners go up in God’s name, not the king’s.</w:t>
            </w:r>
          </w:p>
        </w:tc>
      </w:tr>
      <w:tr>
        <w:tc>
          <w:tcPr/>
          <w:p>
            <w:pPr>
              <w:pStyle w:val="Compact"/>
            </w:pPr>
            <w:r>
              <w:t xml:space="preserve">6</w:t>
            </w:r>
          </w:p>
        </w:tc>
        <w:tc>
          <w:tcPr/>
          <w:p>
            <w:pPr>
              <w:pStyle w:val="Compact"/>
            </w:pPr>
            <w:r>
              <w:t xml:space="preserve">“Now I know that the LORD saves His anointed; He will answer him from His holy heaven with the saving might of His right hand.”</w:t>
            </w:r>
          </w:p>
        </w:tc>
        <w:tc>
          <w:tcPr/>
          <w:p>
            <w:pPr>
              <w:pStyle w:val="Compact"/>
            </w:pPr>
            <w:r>
              <w:t xml:space="preserve">Pivot — shift from petition (vv. 1–5) to confident declaration.</w:t>
            </w:r>
            <w:r>
              <w:t xml:space="preserve"> </w:t>
            </w:r>
            <w:r>
              <w:t xml:space="preserve">“Now I know”</w:t>
            </w:r>
            <w:r>
              <w:t xml:space="preserve"> </w:t>
            </w:r>
            <w:r>
              <w:t xml:space="preserve">— this is faith declared before the battle is fought. The LORD’s anointed will be answered.</w:t>
            </w:r>
          </w:p>
        </w:tc>
      </w:tr>
      <w:tr>
        <w:tc>
          <w:tcPr/>
          <w:p>
            <w:pPr>
              <w:pStyle w:val="Compact"/>
            </w:pPr>
            <w:r>
              <w:t xml:space="preserve">7</w:t>
            </w:r>
          </w:p>
        </w:tc>
        <w:tc>
          <w:tcPr/>
          <w:p>
            <w:pPr>
              <w:pStyle w:val="Compact"/>
            </w:pPr>
            <w:r>
              <w:t xml:space="preserve">“Some trust in chariots and some in horses, but we trust in the name of the LORD our God.”</w:t>
            </w:r>
          </w:p>
        </w:tc>
        <w:tc>
          <w:tcPr/>
          <w:p>
            <w:pPr>
              <w:pStyle w:val="Compact"/>
            </w:pPr>
            <w:r>
              <w:t xml:space="preserve">The theological center of the psalm. Two communities defined by their ultimate trust. Chariots and horses = visible, measurable power. The name of the LORD = covenant faithfulness, invisible but decisive.</w:t>
            </w:r>
          </w:p>
        </w:tc>
      </w:tr>
      <w:tr>
        <w:tc>
          <w:tcPr/>
          <w:p>
            <w:pPr>
              <w:pStyle w:val="Compact"/>
            </w:pPr>
            <w:r>
              <w:t xml:space="preserve">8</w:t>
            </w:r>
          </w:p>
        </w:tc>
        <w:tc>
          <w:tcPr/>
          <w:p>
            <w:pPr>
              <w:pStyle w:val="Compact"/>
            </w:pPr>
            <w:r>
              <w:t xml:space="preserve">“They collapse and fall, but we rise and stand upright.”</w:t>
            </w:r>
          </w:p>
        </w:tc>
        <w:tc>
          <w:tcPr/>
          <w:p>
            <w:pPr>
              <w:pStyle w:val="Compact"/>
            </w:pPr>
            <w:r>
              <w:t xml:space="preserve">The contrast resolves: those trusting in human power fall; those trusting in God’s name rise. Note the present/future confidence — stated before the outcome is visible.</w:t>
            </w:r>
          </w:p>
        </w:tc>
      </w:tr>
      <w:tr>
        <w:tc>
          <w:tcPr/>
          <w:p>
            <w:pPr>
              <w:pStyle w:val="Compact"/>
            </w:pPr>
            <w:r>
              <w:t xml:space="preserve">9</w:t>
            </w:r>
          </w:p>
        </w:tc>
        <w:tc>
          <w:tcPr/>
          <w:p>
            <w:pPr>
              <w:pStyle w:val="Compact"/>
            </w:pPr>
            <w:r>
              <w:t xml:space="preserve">“Save, LORD! May the King answer us when we call.”</w:t>
            </w:r>
          </w:p>
        </w:tc>
        <w:tc>
          <w:tcPr/>
          <w:p>
            <w:pPr>
              <w:pStyle w:val="Compact"/>
            </w:pPr>
            <w:r>
              <w:t xml:space="preserve">Brief closing petition — returns to prayer after the declaration. Some manuscripts read</w:t>
            </w:r>
            <w:r>
              <w:t xml:space="preserve"> </w:t>
            </w:r>
            <w:r>
              <w:t xml:space="preserve">“O LORD, save the king”</w:t>
            </w:r>
            <w:r>
              <w:t xml:space="preserve">; the congregation calls on God and calls on the king as God’s instrument.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Congregation’s Prayer for the King</w:t>
            </w:r>
          </w:p>
        </w:tc>
      </w:tr>
      <w:tr>
        <w:tc>
          <w:tcPr/>
          <w:p>
            <w:pPr>
              <w:pStyle w:val="Compact"/>
            </w:pPr>
            <w:r>
              <w:t xml:space="preserve">2</w:t>
            </w:r>
          </w:p>
        </w:tc>
        <w:tc>
          <w:tcPr/>
          <w:p>
            <w:pPr>
              <w:pStyle w:val="Compact"/>
            </w:pPr>
            <w:r>
              <w:t xml:space="preserve">6–8</w:t>
            </w:r>
          </w:p>
        </w:tc>
        <w:tc>
          <w:tcPr/>
          <w:p>
            <w:pPr>
              <w:pStyle w:val="Compact"/>
            </w:pPr>
            <w:r>
              <w:t xml:space="preserve">The Confident Declaration — The LORD Saves His Anointed</w:t>
            </w:r>
          </w:p>
        </w:tc>
      </w:tr>
      <w:tr>
        <w:tc>
          <w:tcPr/>
          <w:p>
            <w:pPr>
              <w:pStyle w:val="Compact"/>
            </w:pPr>
            <w:r>
              <w:t xml:space="preserve">3</w:t>
            </w:r>
          </w:p>
        </w:tc>
        <w:tc>
          <w:tcPr/>
          <w:p>
            <w:pPr>
              <w:pStyle w:val="Compact"/>
            </w:pPr>
            <w:r>
              <w:t xml:space="preserve">9</w:t>
            </w:r>
          </w:p>
        </w:tc>
        <w:tc>
          <w:tcPr/>
          <w:p>
            <w:pPr>
              <w:pStyle w:val="Compact"/>
            </w:pPr>
            <w:r>
              <w:t xml:space="preserve">The Closing Petition — Save,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congregation prays for its king, confessing that victory belongs to the LORD alone.</w:t>
      </w:r>
    </w:p>
    <w:p>
      <w:pPr>
        <w:pStyle w:val="BodyText"/>
      </w:pPr>
      <w:r>
        <w:rPr>
          <w:b/>
          <w:bCs/>
        </w:rPr>
        <w:t xml:space="preserve">Primary Claim:</w:t>
      </w:r>
      <w:r>
        <w:t xml:space="preserve"> </w:t>
      </w:r>
      <w:r>
        <w:t xml:space="preserve">God calls His people to bring their most urgent needs to Him in prayer, trusting that the name of the LORD is a more reliable foundation than any human resource — and to declare that confidence before the outcome is visible.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Name your</w:t>
      </w:r>
      <w:r>
        <w:rPr>
          <w:b/>
          <w:bCs/>
        </w:rPr>
        <w:t xml:space="preserve"> </w:t>
      </w:r>
      <w:r>
        <w:rPr>
          <w:b/>
          <w:bCs/>
        </w:rPr>
        <w:t xml:space="preserve">“day of trouble”</w:t>
      </w:r>
      <w:r>
        <w:rPr>
          <w:b/>
          <w:bCs/>
        </w:rPr>
        <w:t xml:space="preserve"> </w:t>
      </w:r>
      <w:r>
        <w:rPr>
          <w:b/>
          <w:bCs/>
        </w:rPr>
        <w:t xml:space="preserve">and bring it specifically to God before you attempt to manage it yourself.</w:t>
      </w:r>
      <w:r>
        <w:t xml:space="preserve"> </w:t>
      </w:r>
      <w:r>
        <w:rPr>
          <w:i/>
          <w:iCs/>
        </w:rPr>
        <w:t xml:space="preserve">(Mind/Belief)</w:t>
      </w:r>
    </w:p>
    <w:p>
      <w:pPr>
        <w:pStyle w:val="BodyText"/>
      </w:pPr>
      <w:r>
        <w:t xml:space="preserve">The congregation in Psalm 20 does not wait to see how the battle turns out before praying — they pray before the king rides out. The psalm’s opening word is petition, not strategy. Many believers invert this: they exhaust every visible resource and then, when things are desperate, bring the matter to God as a last resort. Psalm 20 confronts this pattern as a fundamental disorder. Prayer is not the backup plan. It is the first movement, the presupposition, the posture from which everything else flows. Identify the specific</w:t>
      </w:r>
      <w:r>
        <w:t xml:space="preserve"> </w:t>
      </w:r>
      <w:r>
        <w:t xml:space="preserve">“day of trouble”</w:t>
      </w:r>
      <w:r>
        <w:t xml:space="preserve"> </w:t>
      </w:r>
      <w:r>
        <w:t xml:space="preserve">you are managing without bringing to God — the financial crisis, the deteriorating relationship, the medical uncertainty — and bring it, by name, to the LORD before your next attempt at managing it yourself.</w:t>
      </w:r>
    </w:p>
    <w:p>
      <w:pPr>
        <w:pStyle w:val="BodyText"/>
      </w:pPr>
      <w:r>
        <w:rPr>
          <w:b/>
          <w:bCs/>
        </w:rPr>
        <w:t xml:space="preserve">2. Inventory your</w:t>
      </w:r>
      <w:r>
        <w:rPr>
          <w:b/>
          <w:bCs/>
        </w:rPr>
        <w:t xml:space="preserve"> </w:t>
      </w:r>
      <w:r>
        <w:rPr>
          <w:b/>
          <w:bCs/>
        </w:rPr>
        <w:t xml:space="preserve">“chariots and horses”</w:t>
      </w:r>
      <w:r>
        <w:rPr>
          <w:b/>
          <w:bCs/>
        </w:rPr>
        <w:t xml:space="preserve"> </w:t>
      </w:r>
      <w:r>
        <w:rPr>
          <w:b/>
          <w:bCs/>
        </w:rPr>
        <w:t xml:space="preserve">— the visible resources in which you are placing ultimate confidence — and repent of the trust you have extended to them.</w:t>
      </w:r>
      <w:r>
        <w:t xml:space="preserve"> </w:t>
      </w:r>
      <w:r>
        <w:rPr>
          <w:i/>
          <w:iCs/>
        </w:rPr>
        <w:t xml:space="preserve">(Affections/Worship)</w:t>
      </w:r>
    </w:p>
    <w:p>
      <w:pPr>
        <w:pStyle w:val="BodyText"/>
      </w:pPr>
      <w:r>
        <w:t xml:space="preserve">Verse 7 does not say chariots and horses are evil. Israel had chariots. The question is the word</w:t>
      </w:r>
      <w:r>
        <w:t xml:space="preserve"> </w:t>
      </w:r>
      <w:r>
        <w:rPr>
          <w:i/>
          <w:iCs/>
        </w:rPr>
        <w:t xml:space="preserve">trust</w:t>
      </w:r>
      <w:r>
        <w:t xml:space="preserve"> </w:t>
      </w:r>
      <w:r>
        <w:t xml:space="preserve">— the orientation of ultimate confidence and hope. Every person has a functional</w:t>
      </w:r>
      <w:r>
        <w:t xml:space="preserve"> </w:t>
      </w:r>
      <w:r>
        <w:t xml:space="preserve">“chariot and horses”</w:t>
      </w:r>
      <w:r>
        <w:t xml:space="preserve"> </w:t>
      </w:r>
      <w:r>
        <w:t xml:space="preserve">category: the savings account, the insurance policy, the influential contact, the personal track record, the health regimen. None of these is sinful. But the heart’s tendency is to make them ultimate — to sleep well because of them rather than because of God’s faithfulness. This is a worship diagnosis, not merely a behavioral one. Ask honestly: what would genuinely threaten my sense of security if I lost it? The answer names your chariot. Bring that to God in repentance and ask Him to reorient your confidence toward His name.</w:t>
      </w:r>
    </w:p>
    <w:p>
      <w:pPr>
        <w:pStyle w:val="BodyText"/>
      </w:pPr>
      <w:r>
        <w:rPr>
          <w:b/>
          <w:bCs/>
        </w:rPr>
        <w:t xml:space="preserve">3. Practice declaring confidence in God’s faithfulness before the outcome is visible.</w:t>
      </w:r>
      <w:r>
        <w:t xml:space="preserve"> </w:t>
      </w:r>
      <w:r>
        <w:rPr>
          <w:i/>
          <w:iCs/>
        </w:rPr>
        <w:t xml:space="preserve">(Will/Behavior)</w:t>
      </w:r>
    </w:p>
    <w:p>
      <w:pPr>
        <w:pStyle w:val="BodyText"/>
      </w:pPr>
      <w:r>
        <w:t xml:space="preserve">Verse 6 —</w:t>
      </w:r>
      <w:r>
        <w:t xml:space="preserve"> </w:t>
      </w:r>
      <w:r>
        <w:t xml:space="preserve">“Now I know that the LORD saves His anointed”</w:t>
      </w:r>
      <w:r>
        <w:t xml:space="preserve"> </w:t>
      </w:r>
      <w:r>
        <w:t xml:space="preserve">— is declared before the battle is fought. This is the posture of faith: not</w:t>
      </w:r>
      <w:r>
        <w:t xml:space="preserve"> </w:t>
      </w:r>
      <w:r>
        <w:t xml:space="preserve">“now I see that the LORD has saved,”</w:t>
      </w:r>
      <w:r>
        <w:t xml:space="preserve"> </w:t>
      </w:r>
      <w:r>
        <w:t xml:space="preserve">but</w:t>
      </w:r>
      <w:r>
        <w:t xml:space="preserve"> </w:t>
      </w:r>
      <w:r>
        <w:t xml:space="preserve">“now I know that He will.”</w:t>
      </w:r>
      <w:r>
        <w:t xml:space="preserve"> </w:t>
      </w:r>
      <w:r>
        <w:t xml:space="preserve">The application is concretely behavioral: before the medical results come back, say it. Before the conversation that will determine the outcome of the relationship, say it. Before the business decision that carries enormous risk, say it. This is not positive thinking — it is covenant memory, recalling what God has done for His anointed and claiming it as the ground of present confidence. Write it, say it aloud, pray it in the hearing of others who can hold you to it.</w:t>
      </w:r>
    </w:p>
    <w:p>
      <w:pPr>
        <w:pStyle w:val="BodyText"/>
      </w:pPr>
      <w:r>
        <w:rPr>
          <w:b/>
          <w:bCs/>
        </w:rPr>
        <w:t xml:space="preserve">4. Let the cross and resurrection reshape the category of</w:t>
      </w:r>
      <w:r>
        <w:rPr>
          <w:b/>
          <w:bCs/>
        </w:rPr>
        <w:t xml:space="preserve"> </w:t>
      </w:r>
      <w:r>
        <w:rPr>
          <w:b/>
          <w:bCs/>
        </w:rPr>
        <w:t xml:space="preserve">“answered prayer”</w:t>
      </w:r>
      <w:r>
        <w:rPr>
          <w:b/>
          <w:bCs/>
        </w:rPr>
        <w:t xml:space="preserve"> </w:t>
      </w:r>
      <w:r>
        <w:rPr>
          <w:b/>
          <w:bCs/>
        </w:rPr>
        <w:t xml:space="preserve">so you trust God when the answer is costly.</w:t>
      </w:r>
      <w:r>
        <w:t xml:space="preserve"> </w:t>
      </w:r>
      <w:r>
        <w:rPr>
          <w:i/>
          <w:iCs/>
        </w:rPr>
        <w:t xml:space="preserve">(Mind/Belief)</w:t>
      </w:r>
    </w:p>
    <w:p>
      <w:pPr>
        <w:pStyle w:val="BodyText"/>
      </w:pPr>
      <w:r>
        <w:t xml:space="preserve">The ultimate</w:t>
      </w:r>
      <w:r>
        <w:t xml:space="preserve"> </w:t>
      </w:r>
      <w:r>
        <w:t xml:space="preserve">“day of trouble”</w:t>
      </w:r>
      <w:r>
        <w:t xml:space="preserve"> </w:t>
      </w:r>
      <w:r>
        <w:t xml:space="preserve">for God’s Anointed was Gethsemane and Golgotha. Jesus prayed —</w:t>
      </w:r>
      <w:r>
        <w:t xml:space="preserve"> </w:t>
      </w:r>
      <w:r>
        <w:t xml:space="preserve">“not My will, but Yours”</w:t>
      </w:r>
      <w:r>
        <w:t xml:space="preserve"> </w:t>
      </w:r>
      <w:r>
        <w:t xml:space="preserve">(Luke 22:42) — and was answered. But the answer came through death before it came through resurrection. Hebrews 5:7 says He</w:t>
      </w:r>
      <w:r>
        <w:t xml:space="preserve"> </w:t>
      </w:r>
      <w:r>
        <w:t xml:space="preserve">“was heard because of His reverent submission.”</w:t>
      </w:r>
      <w:r>
        <w:t xml:space="preserve"> </w:t>
      </w:r>
      <w:r>
        <w:t xml:space="preserve">God answered His Anointed, but not by removing the cross — by raising Him through it. This reframes what</w:t>
      </w:r>
      <w:r>
        <w:t xml:space="preserve"> </w:t>
      </w:r>
      <w:r>
        <w:t xml:space="preserve">“answered prayer”</w:t>
      </w:r>
      <w:r>
        <w:t xml:space="preserve"> </w:t>
      </w:r>
      <w:r>
        <w:t xml:space="preserve">looks like for those who pray in Christ’s name. God’s answer may not extract you from the day of trouble — it may sustain you through it toward a vindication you cannot yet see. Do not define</w:t>
      </w:r>
      <w:r>
        <w:t xml:space="preserve"> </w:t>
      </w:r>
      <w:r>
        <w:t xml:space="preserve">“answered”</w:t>
      </w:r>
      <w:r>
        <w:t xml:space="preserve"> </w:t>
      </w:r>
      <w:r>
        <w:t xml:space="preserve">by your preferred outcome. Define it by the shape of Christ’s experience and expect God to be faithful in the same way.</w:t>
      </w:r>
    </w:p>
    <w:p>
      <w:pPr>
        <w:pStyle w:val="BodyText"/>
      </w:pPr>
      <w:r>
        <w:rPr>
          <w:b/>
          <w:bCs/>
        </w:rPr>
        <w:t xml:space="preserve">5. Recover the communal dimension of prayer — intercede specifically for those who carry authority and responsibility among God’s people.</w:t>
      </w:r>
      <w:r>
        <w:t xml:space="preserve"> </w:t>
      </w:r>
      <w:r>
        <w:rPr>
          <w:i/>
          <w:iCs/>
        </w:rPr>
        <w:t xml:space="preserve">(Will/Behavior)</w:t>
      </w:r>
    </w:p>
    <w:p>
      <w:pPr>
        <w:pStyle w:val="BodyText"/>
      </w:pPr>
      <w:r>
        <w:t xml:space="preserve">Psalm 20 is the congregation’s prayer</w:t>
      </w:r>
      <w:r>
        <w:t xml:space="preserve"> </w:t>
      </w:r>
      <w:r>
        <w:rPr>
          <w:i/>
          <w:iCs/>
        </w:rPr>
        <w:t xml:space="preserve">for</w:t>
      </w:r>
      <w:r>
        <w:t xml:space="preserve"> </w:t>
      </w:r>
      <w:r>
        <w:t xml:space="preserve">the king — not the king’s private prayer for himself. The people are interceding for the one who bears the burden of leadership and the weight of the community’s safety. This is a lost practice in individualistic Christianity. The application is direct: identify those who bear authority and responsibility in your community — pastors, elders, civic leaders, parents, teachers — and pray for them by name before they face their next</w:t>
      </w:r>
      <w:r>
        <w:t xml:space="preserve"> </w:t>
      </w:r>
      <w:r>
        <w:t xml:space="preserve">“day of trouble.”</w:t>
      </w:r>
      <w:r>
        <w:t xml:space="preserve"> </w:t>
      </w:r>
      <w:r>
        <w:t xml:space="preserve">Do not wait until the leader has failed or fallen. Pray for them now, before the battle.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Psalm 20 teaches that the LORD is a God who hears and answers prayer — not abstractly, but in the specific urgency of the</w:t>
      </w:r>
      <w:r>
        <w:t xml:space="preserve"> </w:t>
      </w:r>
      <w:r>
        <w:t xml:space="preserve">“day of trouble.”</w:t>
      </w:r>
      <w:r>
        <w:t xml:space="preserve"> </w:t>
      </w:r>
      <w:r>
        <w:t xml:space="preserve">The psalm grounds this confidence not in general theism but in covenant: the God of Jacob, the sanctuary at Zion, the LORD’s anointed. God’s responsiveness to prayer is covenant-shaped — He answers because He has bound Himself to His people and to His king by promise. The psalm also teaches that God’s power is categorically different from human power: chariots and horses are finite, measurable, and ultimately insufficient, while the name of the LORD designates a faithfulness, authority, and capacity that no military calculation can contain. The theological claim is not that visible resources are useless but that they are not ultimate — and that trusting them as ultimate is a category error with catastrophic consequences.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Psalm 20 is a cornerstone text for the Reformed understanding of prayer as an act of covenant faith — not a technique for getting results but the creature’s proper posture of dependence before the Creator who has bound Himself to answer. The psalm enacts what the Westminster Shorter Catechism (Q. 98) describes: prayer is</w:t>
      </w:r>
      <w:r>
        <w:t xml:space="preserve"> </w:t>
      </w:r>
      <w:r>
        <w:t xml:space="preserve">“an offering up of our desires unto God, for things agreeable to His will, in the name of Christ, with confession of our sins, and thankful acknowledgment of His mercies.”</w:t>
      </w:r>
      <w:r>
        <w:t xml:space="preserve"> </w:t>
      </w:r>
      <w:r>
        <w:t xml:space="preserve">The Davidic king who receives this prayer is the typological foundation for understanding Christ as the ultimate Anointed One — which means the confidence of Psalm 20:6 is now the believer’s confidence in Christ’s finished work and resurrection vindication. The chariot/horse contrast is a precise expression of the Reformed distinction between means and ultimate trust: God’s people use means (including earthly resources and strategies) but place their trust in God alone —</w:t>
      </w:r>
      <w:r>
        <w:t xml:space="preserve"> </w:t>
      </w:r>
      <w:r>
        <w:rPr>
          <w:i/>
          <w:iCs/>
        </w:rPr>
        <w:t xml:space="preserve">soli Deo gloria</w:t>
      </w:r>
      <w:r>
        <w:t xml:space="preserve"> </w:t>
      </w:r>
      <w:r>
        <w:t xml:space="preserve">not as a slogan but as a life posture. The psalm resists both a passive</w:t>
      </w:r>
      <w:r>
        <w:t xml:space="preserve"> </w:t>
      </w:r>
      <w:r>
        <w:t xml:space="preserve">“do nothing and trust God”</w:t>
      </w:r>
      <w:r>
        <w:t xml:space="preserve"> </w:t>
      </w:r>
      <w:r>
        <w:t xml:space="preserve">quietism and an activist self-reliance; it holds prayer and action together under the name of the LORD.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When your day of trouble arrives — and it will — the decisive question is not what resources you can bring to bear but whose name you are trusting. The name of the LORD is not a religious sentiment; it is a covenant commitment backed by the God who raised His Anointed from the dead. Pray first. Declare trust before the outcome is visible. Stop building your confidence on something that can collapse.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w:t>
      </w:r>
      <w:r>
        <w:rPr>
          <w:b/>
          <w:bCs/>
        </w:rPr>
        <w:t xml:space="preserve"> </w:t>
      </w:r>
      <w:r>
        <w:rPr>
          <w:b/>
          <w:bCs/>
        </w:rPr>
        <w:t xml:space="preserve">“chariots and horses”</w:t>
      </w:r>
      <w:r>
        <w:rPr>
          <w:b/>
          <w:bCs/>
        </w:rPr>
        <w:t xml:space="preserve"> </w:t>
      </w:r>
      <w:r>
        <w:rPr>
          <w:b/>
          <w:bCs/>
        </w:rPr>
        <w:t xml:space="preserve">as a moralism about materialism.</w:t>
      </w:r>
      <w:r>
        <w:t xml:space="preserve"> </w:t>
      </w:r>
      <w:r>
        <w:t xml:space="preserve">The most common misapplication of vv. 7–8 is to flatten the military/political urgency into a general principle about not being too attached to money or possessions. This makes the text smaller than it is. The psalm is addressing people who face real threats to their survival and who are tempted to look to visible military power as their decisive resource. The application must preserve that urgency — these are people under genuine threat, facing genuine danger, and the psalm is telling them where to stand. Preach it with that weight.</w:t>
      </w:r>
    </w:p>
    <w:p>
      <w:pPr>
        <w:numPr>
          <w:ilvl w:val="0"/>
          <w:numId w:val="1002"/>
        </w:numPr>
      </w:pPr>
      <w:r>
        <w:rPr>
          <w:b/>
          <w:bCs/>
        </w:rPr>
        <w:t xml:space="preserve">Skipping the typological-Christological connection.</w:t>
      </w:r>
      <w:r>
        <w:t xml:space="preserve"> </w:t>
      </w:r>
      <w:r>
        <w:t xml:space="preserve">If the sermon treats Psalm 20 as simply a pre-battle prayer with good devotional principles about trust, it has missed the canonical function of the Davidic kingship. The</w:t>
      </w:r>
      <w:r>
        <w:t xml:space="preserve"> </w:t>
      </w:r>
      <w:r>
        <w:t xml:space="preserve">“anointed”</w:t>
      </w:r>
      <w:r>
        <w:t xml:space="preserve"> </w:t>
      </w:r>
      <w:r>
        <w:t xml:space="preserve">language is load-bearing. The preacher who does not trace this forward to Christ — specifically to Gethsemane, the cross, and resurrection as the ultimate fulfillment of the psalm’s confidence — has preached the shadow without showing the substance. The New Testament reader hears this psalm differently than an Israelite soldier in 1000 BC, and rightly so.</w:t>
      </w:r>
    </w:p>
    <w:p>
      <w:pPr>
        <w:numPr>
          <w:ilvl w:val="0"/>
          <w:numId w:val="1002"/>
        </w:numPr>
      </w:pPr>
      <w:r>
        <w:rPr>
          <w:b/>
          <w:bCs/>
        </w:rPr>
        <w:t xml:space="preserve">Collapsing the distinction between the king and the congregation in v. 6.</w:t>
      </w:r>
      <w:r>
        <w:t xml:space="preserve"> </w:t>
      </w:r>
      <w:r>
        <w:t xml:space="preserve">Well-meaning applications often move too quickly from</w:t>
      </w:r>
      <w:r>
        <w:t xml:space="preserve"> </w:t>
      </w:r>
      <w:r>
        <w:t xml:space="preserve">“the LORD saves His anointed”</w:t>
      </w:r>
      <w:r>
        <w:t xml:space="preserve"> </w:t>
      </w:r>
      <w:r>
        <w:t xml:space="preserve">to</w:t>
      </w:r>
      <w:r>
        <w:t xml:space="preserve"> </w:t>
      </w:r>
      <w:r>
        <w:t xml:space="preserve">“the LORD saves you and me.”</w:t>
      </w:r>
      <w:r>
        <w:t xml:space="preserve"> </w:t>
      </w:r>
      <w:r>
        <w:t xml:space="preserve">The congregation in Psalm 20 is not the anointed — they are interceding</w:t>
      </w:r>
      <w:r>
        <w:t xml:space="preserve"> </w:t>
      </w:r>
      <w:r>
        <w:rPr>
          <w:i/>
          <w:iCs/>
        </w:rPr>
        <w:t xml:space="preserve">for</w:t>
      </w:r>
      <w:r>
        <w:t xml:space="preserve"> </w:t>
      </w:r>
      <w:r>
        <w:t xml:space="preserve">the anointed. The application to the believer runs through Christ as the ultimate Anointed, not by making every believer a little messiah. Precision here protects both the exegesis and the gospel.</w:t>
      </w:r>
    </w:p>
    <w:p>
      <w:pPr>
        <w:numPr>
          <w:ilvl w:val="0"/>
          <w:numId w:val="1002"/>
        </w:numPr>
      </w:pPr>
      <w:r>
        <w:rPr>
          <w:b/>
          <w:bCs/>
        </w:rPr>
        <w:t xml:space="preserve">Privatizing the psalm away from its communal and political dimensions.</w:t>
      </w:r>
      <w:r>
        <w:t xml:space="preserve"> </w:t>
      </w:r>
      <w:r>
        <w:t xml:space="preserve">Psalm 20 is a public, communal, liturgical act — the whole congregation praying for the king before a military engagement. Sermons that reduce it entirely to personal devotional trust miss the corporate and even civic dimensions of the text. The psalm is teaching Israel how to be a people, not just how to be individuals. Applications should include the communal practice of intercession for leaders.</w:t>
      </w:r>
    </w:p>
    <w:p>
      <w:pPr>
        <w:numPr>
          <w:ilvl w:val="0"/>
          <w:numId w:val="1002"/>
        </w:numPr>
      </w:pPr>
      <w:r>
        <w:rPr>
          <w:b/>
          <w:bCs/>
        </w:rPr>
        <w:t xml:space="preserve">Presenting v. 4 (</w:t>
      </w:r>
      <w:r>
        <w:rPr>
          <w:b/>
          <w:bCs/>
        </w:rPr>
        <w:t xml:space="preserve">“grant you your heart’s desire”</w:t>
      </w:r>
      <w:r>
        <w:rPr>
          <w:b/>
          <w:bCs/>
        </w:rPr>
        <w:t xml:space="preserve">) as a blank-check prosperity promise.</w:t>
      </w:r>
      <w:r>
        <w:t xml:space="preserve"> </w:t>
      </w:r>
      <w:r>
        <w:t xml:space="preserve">Verse 4 is sometimes extracted and offered as a general promise that God will give believers whatever they desire. In context, the king’s</w:t>
      </w:r>
      <w:r>
        <w:t xml:space="preserve"> </w:t>
      </w:r>
      <w:r>
        <w:t xml:space="preserve">“heart’s desire”</w:t>
      </w:r>
      <w:r>
        <w:t xml:space="preserve"> </w:t>
      </w:r>
      <w:r>
        <w:t xml:space="preserve">is inseparable from his covenant role — his desires are meant to be shaped by his calling as the LORD’s anointed. The verse does not teach that God endorses whatever the individual happens to want. Guard against this use, which appears especially in charismatic and health-and-wealth preaching contexts.</w:t>
      </w:r>
    </w:p>
    <w:p>
      <w:pPr>
        <w:numPr>
          <w:ilvl w:val="0"/>
          <w:numId w:val="1002"/>
        </w:numPr>
      </w:pPr>
      <w:r>
        <w:rPr>
          <w:b/>
          <w:bCs/>
        </w:rPr>
        <w:t xml:space="preserve">Failing to preach the declaration of v. 6 as a present act of faith, not a future hope.</w:t>
      </w:r>
      <w:r>
        <w:t xml:space="preserve"> </w:t>
      </w:r>
      <w:r>
        <w:t xml:space="preserve">“Now I know”</w:t>
      </w:r>
      <w:r>
        <w:t xml:space="preserve"> </w:t>
      </w:r>
      <w:r>
        <w:t xml:space="preserve">is present tense and functions as a confession of faith before the battle. Expositions that soften this into</w:t>
      </w:r>
      <w:r>
        <w:t xml:space="preserve"> </w:t>
      </w:r>
      <w:r>
        <w:t xml:space="preserve">“we hope God will eventually answer”</w:t>
      </w:r>
      <w:r>
        <w:t xml:space="preserve"> </w:t>
      </w:r>
      <w:r>
        <w:t xml:space="preserve">or</w:t>
      </w:r>
      <w:r>
        <w:t xml:space="preserve"> </w:t>
      </w:r>
      <w:r>
        <w:t xml:space="preserve">“we can be confident in the long run”</w:t>
      </w:r>
      <w:r>
        <w:t xml:space="preserve"> </w:t>
      </w:r>
      <w:r>
        <w:t xml:space="preserve">drain the verse of its rhetorical and spiritual force. The point is that the confident declaration precedes the visible vindication — and the congregation is meant to imitate this posture, not merely admire it from the outside.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2026-07-14T21:04:36Z</dcterms:created>
  <dcterms:modified xsi:type="dcterms:W3CDTF">2026-07-14T21:04:36Z</dcterms:modified>
</cp:coreProperties>
</file>

<file path=docProps/custom.xml><?xml version="1.0" encoding="utf-8"?>
<Properties xmlns="http://schemas.openxmlformats.org/officeDocument/2006/custom-properties" xmlns:vt="http://schemas.openxmlformats.org/officeDocument/2006/docPropsVTypes"/>
</file>